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D9590" w14:textId="77777777" w:rsidR="00B27D82" w:rsidRPr="00095345" w:rsidRDefault="00B27D82" w:rsidP="002A0D3F">
      <w:pPr>
        <w:jc w:val="center"/>
        <w:rPr>
          <w:b/>
          <w:sz w:val="28"/>
          <w:lang w:val="cs-CZ"/>
        </w:rPr>
      </w:pPr>
    </w:p>
    <w:p w14:paraId="3E553CF9" w14:textId="44E47064" w:rsidR="00095345" w:rsidRPr="00B251B5" w:rsidRDefault="00095345" w:rsidP="000F3B97">
      <w:pPr>
        <w:jc w:val="center"/>
        <w:rPr>
          <w:b/>
          <w:sz w:val="28"/>
        </w:rPr>
      </w:pPr>
      <w:r w:rsidRPr="00B251B5">
        <w:rPr>
          <w:b/>
          <w:sz w:val="28"/>
        </w:rPr>
        <w:t xml:space="preserve">The </w:t>
      </w:r>
      <w:proofErr w:type="spellStart"/>
      <w:r w:rsidRPr="00B251B5">
        <w:rPr>
          <w:b/>
          <w:sz w:val="28"/>
        </w:rPr>
        <w:t>Trigea</w:t>
      </w:r>
      <w:proofErr w:type="spellEnd"/>
      <w:r w:rsidRPr="00B251B5">
        <w:rPr>
          <w:b/>
          <w:sz w:val="28"/>
        </w:rPr>
        <w:t xml:space="preserve"> fund purchased two retail parks in Moravia</w:t>
      </w:r>
    </w:p>
    <w:p w14:paraId="145B5EA7" w14:textId="77777777" w:rsidR="002A0D3F" w:rsidRPr="00095345" w:rsidRDefault="002A0D3F" w:rsidP="002A0D3F">
      <w:pPr>
        <w:jc w:val="both"/>
        <w:rPr>
          <w:b/>
          <w:bCs/>
          <w:sz w:val="28"/>
          <w:szCs w:val="28"/>
          <w:lang w:val="cs-CZ"/>
        </w:rPr>
      </w:pPr>
    </w:p>
    <w:p w14:paraId="25B50B6D" w14:textId="0E8CEB64" w:rsidR="00E35327" w:rsidRDefault="00F4431D" w:rsidP="00095345">
      <w:pPr>
        <w:jc w:val="both"/>
        <w:rPr>
          <w:rFonts w:asciiTheme="minorHAnsi" w:hAnsiTheme="minorHAnsi" w:cstheme="minorHAnsi"/>
          <w:sz w:val="24"/>
          <w:szCs w:val="24"/>
        </w:rPr>
      </w:pPr>
      <w:r w:rsidRPr="00CE0544">
        <w:rPr>
          <w:rFonts w:asciiTheme="minorHAnsi" w:hAnsiTheme="minorHAnsi"/>
          <w:sz w:val="24"/>
        </w:rPr>
        <w:t xml:space="preserve">Prague, </w:t>
      </w:r>
      <w:r w:rsidR="00CE0544" w:rsidRPr="00CE0544">
        <w:rPr>
          <w:rFonts w:asciiTheme="minorHAnsi" w:hAnsiTheme="minorHAnsi"/>
          <w:sz w:val="24"/>
        </w:rPr>
        <w:t>2</w:t>
      </w:r>
      <w:r w:rsidRPr="00CE0544">
        <w:rPr>
          <w:rFonts w:asciiTheme="minorHAnsi" w:hAnsiTheme="minorHAnsi"/>
          <w:sz w:val="24"/>
        </w:rPr>
        <w:t xml:space="preserve"> September 2021</w:t>
      </w:r>
      <w:r w:rsidR="001E771D">
        <w:rPr>
          <w:rFonts w:asciiTheme="minorHAnsi" w:hAnsiTheme="minorHAnsi"/>
          <w:sz w:val="24"/>
        </w:rPr>
        <w:t xml:space="preserve"> – T</w:t>
      </w:r>
      <w:r>
        <w:rPr>
          <w:rFonts w:asciiTheme="minorHAnsi" w:hAnsiTheme="minorHAnsi"/>
          <w:sz w:val="24"/>
        </w:rPr>
        <w:t xml:space="preserve">he Czech real estate fund </w:t>
      </w:r>
      <w:proofErr w:type="spellStart"/>
      <w:r>
        <w:rPr>
          <w:rFonts w:asciiTheme="minorHAnsi" w:hAnsiTheme="minorHAnsi"/>
          <w:sz w:val="24"/>
        </w:rPr>
        <w:t>Trigea</w:t>
      </w:r>
      <w:proofErr w:type="spellEnd"/>
      <w:r>
        <w:rPr>
          <w:rFonts w:asciiTheme="minorHAnsi" w:hAnsiTheme="minorHAnsi"/>
          <w:sz w:val="24"/>
        </w:rPr>
        <w:t xml:space="preserve">, which specializes in investments into commercial properties with attractive yields, has purchased two retail parks in Moravia from </w:t>
      </w:r>
      <w:r w:rsidR="00CE0544">
        <w:rPr>
          <w:rFonts w:asciiTheme="minorHAnsi" w:hAnsiTheme="minorHAnsi"/>
          <w:sz w:val="24"/>
        </w:rPr>
        <w:t xml:space="preserve">an international fund: </w:t>
      </w:r>
      <w:proofErr w:type="spellStart"/>
      <w:r>
        <w:rPr>
          <w:rFonts w:asciiTheme="minorHAnsi" w:hAnsiTheme="minorHAnsi"/>
          <w:sz w:val="24"/>
        </w:rPr>
        <w:t>Nákupní</w:t>
      </w:r>
      <w:proofErr w:type="spellEnd"/>
      <w:r>
        <w:rPr>
          <w:rFonts w:asciiTheme="minorHAnsi" w:hAnsiTheme="minorHAnsi"/>
          <w:sz w:val="24"/>
        </w:rPr>
        <w:t xml:space="preserve"> park </w:t>
      </w:r>
      <w:proofErr w:type="spellStart"/>
      <w:r>
        <w:rPr>
          <w:rFonts w:asciiTheme="minorHAnsi" w:hAnsiTheme="minorHAnsi"/>
          <w:sz w:val="24"/>
        </w:rPr>
        <w:t>Haná</w:t>
      </w:r>
      <w:proofErr w:type="spellEnd"/>
      <w:r>
        <w:rPr>
          <w:rFonts w:asciiTheme="minorHAnsi" w:hAnsiTheme="minorHAnsi"/>
          <w:sz w:val="24"/>
        </w:rPr>
        <w:t xml:space="preserve"> Olomouc and Retail Park Ostrava. Both properties are located in established retail zones with high tenant stability and long-term leases. CBRE, the world leader in commercial real estate services, has been managing both parks since 2013 and has extended most of their lease agreements in recent months. It thereby brought the parks’ occupancy to 100% and subsequently found buyers for the owners. This, the fifth transaction that CBRE has mediated this year, is another positive sign of a revival of the Czech real estate market, where there is an abundance of free capital but few suitable and high-quality investment products.</w:t>
      </w:r>
      <w:bookmarkStart w:id="1" w:name="_GoBack"/>
      <w:bookmarkEnd w:id="1"/>
    </w:p>
    <w:p w14:paraId="3F7298D7" w14:textId="0A78B99B" w:rsidR="00E35327" w:rsidRDefault="00E35327" w:rsidP="00095345">
      <w:pPr>
        <w:jc w:val="both"/>
        <w:rPr>
          <w:rFonts w:asciiTheme="minorHAnsi" w:hAnsiTheme="minorHAnsi" w:cstheme="minorHAnsi"/>
          <w:sz w:val="24"/>
          <w:szCs w:val="24"/>
          <w:lang w:val="cs-CZ"/>
        </w:rPr>
      </w:pPr>
    </w:p>
    <w:p w14:paraId="2773C134" w14:textId="0D336E41" w:rsidR="009F52D5" w:rsidRDefault="00E84D88" w:rsidP="00062E0F">
      <w:pPr>
        <w:jc w:val="both"/>
        <w:rPr>
          <w:rFonts w:asciiTheme="minorHAnsi" w:hAnsiTheme="minorHAnsi" w:cstheme="minorBidi"/>
          <w:i/>
          <w:iCs/>
          <w:sz w:val="24"/>
          <w:szCs w:val="24"/>
        </w:rPr>
      </w:pPr>
      <w:r>
        <w:rPr>
          <w:rFonts w:asciiTheme="minorHAnsi" w:hAnsiTheme="minorHAnsi"/>
          <w:i/>
          <w:sz w:val="24"/>
        </w:rPr>
        <w:t>"Both parks are established in their catchment areas and have not lost their popularity during the pandemic. Customers like an attractive mix of brands, the possibility of comfortable outdoor parking and direct access to shop</w:t>
      </w:r>
      <w:r w:rsidR="00CE0544">
        <w:rPr>
          <w:rFonts w:asciiTheme="minorHAnsi" w:hAnsiTheme="minorHAnsi"/>
          <w:i/>
          <w:sz w:val="24"/>
        </w:rPr>
        <w:t>s</w:t>
      </w:r>
      <w:r>
        <w:rPr>
          <w:rFonts w:asciiTheme="minorHAnsi" w:hAnsiTheme="minorHAnsi"/>
          <w:i/>
          <w:sz w:val="24"/>
        </w:rPr>
        <w:t>,”</w:t>
      </w:r>
      <w:r>
        <w:rPr>
          <w:rFonts w:asciiTheme="minorHAnsi" w:hAnsiTheme="minorHAnsi"/>
          <w:sz w:val="24"/>
        </w:rPr>
        <w:t xml:space="preserve"> commented </w:t>
      </w:r>
      <w:proofErr w:type="spellStart"/>
      <w:r>
        <w:rPr>
          <w:rFonts w:asciiTheme="minorHAnsi" w:hAnsiTheme="minorHAnsi"/>
          <w:b/>
          <w:sz w:val="24"/>
        </w:rPr>
        <w:t>Vítězslav</w:t>
      </w:r>
      <w:proofErr w:type="spellEnd"/>
      <w:r>
        <w:rPr>
          <w:rFonts w:asciiTheme="minorHAnsi" w:hAnsiTheme="minorHAnsi"/>
          <w:b/>
          <w:sz w:val="24"/>
        </w:rPr>
        <w:t xml:space="preserve"> </w:t>
      </w:r>
      <w:proofErr w:type="spellStart"/>
      <w:r>
        <w:rPr>
          <w:rFonts w:asciiTheme="minorHAnsi" w:hAnsiTheme="minorHAnsi"/>
          <w:b/>
          <w:sz w:val="24"/>
        </w:rPr>
        <w:t>Doležal</w:t>
      </w:r>
      <w:proofErr w:type="spellEnd"/>
      <w:r>
        <w:rPr>
          <w:rFonts w:asciiTheme="minorHAnsi" w:hAnsiTheme="minorHAnsi"/>
          <w:b/>
          <w:sz w:val="24"/>
        </w:rPr>
        <w:t>, Director</w:t>
      </w:r>
      <w:r w:rsidR="00244D69">
        <w:rPr>
          <w:rFonts w:asciiTheme="minorHAnsi" w:hAnsiTheme="minorHAnsi"/>
          <w:b/>
          <w:sz w:val="24"/>
        </w:rPr>
        <w:t xml:space="preserve"> in the</w:t>
      </w:r>
      <w:r w:rsidR="00274CB1">
        <w:rPr>
          <w:rFonts w:asciiTheme="minorHAnsi" w:hAnsiTheme="minorHAnsi"/>
          <w:b/>
          <w:sz w:val="24"/>
        </w:rPr>
        <w:t xml:space="preserve"> </w:t>
      </w:r>
      <w:r w:rsidR="00244D69">
        <w:rPr>
          <w:rFonts w:asciiTheme="minorHAnsi" w:hAnsiTheme="minorHAnsi"/>
          <w:b/>
          <w:sz w:val="24"/>
        </w:rPr>
        <w:t xml:space="preserve">Investment Properties team at </w:t>
      </w:r>
      <w:r>
        <w:rPr>
          <w:rFonts w:asciiTheme="minorHAnsi" w:hAnsiTheme="minorHAnsi"/>
          <w:b/>
          <w:sz w:val="24"/>
        </w:rPr>
        <w:t>CBRE</w:t>
      </w:r>
      <w:r>
        <w:rPr>
          <w:rFonts w:asciiTheme="minorHAnsi" w:hAnsiTheme="minorHAnsi"/>
          <w:sz w:val="24"/>
        </w:rPr>
        <w:t xml:space="preserve">, adding: </w:t>
      </w:r>
      <w:r>
        <w:rPr>
          <w:rFonts w:asciiTheme="minorHAnsi" w:hAnsiTheme="minorHAnsi"/>
          <w:i/>
          <w:sz w:val="24"/>
        </w:rPr>
        <w:t>“</w:t>
      </w:r>
      <w:proofErr w:type="spellStart"/>
      <w:r>
        <w:rPr>
          <w:rFonts w:asciiTheme="minorHAnsi" w:hAnsiTheme="minorHAnsi"/>
          <w:i/>
          <w:sz w:val="24"/>
        </w:rPr>
        <w:t>Nákupní</w:t>
      </w:r>
      <w:proofErr w:type="spellEnd"/>
      <w:r>
        <w:rPr>
          <w:rFonts w:asciiTheme="minorHAnsi" w:hAnsiTheme="minorHAnsi"/>
          <w:i/>
          <w:sz w:val="24"/>
        </w:rPr>
        <w:t xml:space="preserve"> park </w:t>
      </w:r>
      <w:proofErr w:type="spellStart"/>
      <w:r>
        <w:rPr>
          <w:rFonts w:asciiTheme="minorHAnsi" w:hAnsiTheme="minorHAnsi"/>
          <w:i/>
          <w:sz w:val="24"/>
        </w:rPr>
        <w:t>Haná</w:t>
      </w:r>
      <w:proofErr w:type="spellEnd"/>
      <w:r>
        <w:rPr>
          <w:rFonts w:asciiTheme="minorHAnsi" w:hAnsiTheme="minorHAnsi"/>
          <w:i/>
          <w:sz w:val="24"/>
        </w:rPr>
        <w:t xml:space="preserve"> Olomouc will strengthen its position even further, because it plans to open the popular Lidl grocery store chain here in the second quarter of next year, which will allow the new owner to continue working with the offer of brands.”    </w:t>
      </w:r>
    </w:p>
    <w:p w14:paraId="7421B146" w14:textId="2A91A623" w:rsidR="00C00F47" w:rsidRDefault="00C00F47" w:rsidP="00095345">
      <w:pPr>
        <w:jc w:val="both"/>
        <w:rPr>
          <w:rFonts w:asciiTheme="minorHAnsi" w:hAnsiTheme="minorHAnsi" w:cstheme="minorHAnsi"/>
          <w:i/>
          <w:sz w:val="24"/>
          <w:szCs w:val="24"/>
          <w:lang w:val="cs-CZ"/>
        </w:rPr>
      </w:pPr>
    </w:p>
    <w:p w14:paraId="6B84E5E8" w14:textId="249B5CB0" w:rsidR="00755538" w:rsidRPr="00A06697" w:rsidRDefault="00A06697" w:rsidP="00755538">
      <w:pPr>
        <w:jc w:val="both"/>
        <w:rPr>
          <w:rFonts w:asciiTheme="minorHAnsi" w:hAnsiTheme="minorHAnsi"/>
          <w:b/>
          <w:sz w:val="24"/>
        </w:rPr>
      </w:pPr>
      <w:r>
        <w:rPr>
          <w:i/>
          <w:iCs/>
          <w:sz w:val="24"/>
          <w:szCs w:val="24"/>
        </w:rPr>
        <w:t xml:space="preserve">“The strategy of the </w:t>
      </w:r>
      <w:proofErr w:type="spellStart"/>
      <w:r>
        <w:rPr>
          <w:i/>
          <w:iCs/>
          <w:sz w:val="24"/>
          <w:szCs w:val="24"/>
        </w:rPr>
        <w:t>Trigea</w:t>
      </w:r>
      <w:proofErr w:type="spellEnd"/>
      <w:r>
        <w:rPr>
          <w:i/>
          <w:iCs/>
          <w:sz w:val="24"/>
          <w:szCs w:val="24"/>
        </w:rPr>
        <w:t xml:space="preserve"> property fund is to build a diversified portfolio of quality real estate that will ensure an above-standard attractive return for investors</w:t>
      </w:r>
      <w:r>
        <w:rPr>
          <w:i/>
          <w:iCs/>
          <w:color w:val="000000"/>
          <w:sz w:val="24"/>
          <w:szCs w:val="24"/>
        </w:rPr>
        <w:t>. This year we want to deliver our investors a return of around 6%. The new acquisition of two wonderfully-performing retail parks will certainly contribute to this,”</w:t>
      </w:r>
      <w:r>
        <w:rPr>
          <w:sz w:val="24"/>
          <w:szCs w:val="24"/>
        </w:rPr>
        <w:t xml:space="preserve"> stated </w:t>
      </w:r>
      <w:r w:rsidR="00755538" w:rsidRPr="00A06697">
        <w:rPr>
          <w:rFonts w:asciiTheme="minorHAnsi" w:hAnsiTheme="minorHAnsi"/>
          <w:b/>
          <w:sz w:val="24"/>
        </w:rPr>
        <w:t xml:space="preserve">Tomáš Trčka, </w:t>
      </w:r>
      <w:r w:rsidR="00586CF6" w:rsidRPr="00A06697">
        <w:rPr>
          <w:rFonts w:asciiTheme="minorHAnsi" w:hAnsiTheme="minorHAnsi"/>
          <w:b/>
          <w:sz w:val="24"/>
        </w:rPr>
        <w:t xml:space="preserve">Managing Partner </w:t>
      </w:r>
      <w:r w:rsidR="00755538" w:rsidRPr="00A06697">
        <w:rPr>
          <w:rFonts w:asciiTheme="minorHAnsi" w:hAnsiTheme="minorHAnsi"/>
          <w:b/>
          <w:sz w:val="24"/>
        </w:rPr>
        <w:t xml:space="preserve">of the </w:t>
      </w:r>
      <w:proofErr w:type="spellStart"/>
      <w:r w:rsidR="00755538" w:rsidRPr="00A06697">
        <w:rPr>
          <w:rFonts w:asciiTheme="minorHAnsi" w:hAnsiTheme="minorHAnsi"/>
          <w:b/>
          <w:sz w:val="24"/>
        </w:rPr>
        <w:t>Trigea</w:t>
      </w:r>
      <w:proofErr w:type="spellEnd"/>
      <w:r w:rsidR="00755538" w:rsidRPr="00A06697">
        <w:rPr>
          <w:rFonts w:asciiTheme="minorHAnsi" w:hAnsiTheme="minorHAnsi"/>
          <w:b/>
          <w:sz w:val="24"/>
        </w:rPr>
        <w:t xml:space="preserve"> real estate fund.</w:t>
      </w:r>
    </w:p>
    <w:p w14:paraId="1C48A93F" w14:textId="77777777" w:rsidR="00755538" w:rsidRDefault="00755538" w:rsidP="00095345">
      <w:pPr>
        <w:jc w:val="both"/>
        <w:rPr>
          <w:rFonts w:asciiTheme="minorHAnsi" w:hAnsiTheme="minorHAnsi" w:cstheme="minorHAnsi"/>
          <w:i/>
          <w:sz w:val="24"/>
          <w:szCs w:val="24"/>
          <w:lang w:val="cs-CZ"/>
        </w:rPr>
      </w:pPr>
    </w:p>
    <w:p w14:paraId="399B0BA5" w14:textId="1A3B5920" w:rsidR="00927847" w:rsidRPr="00C00F47" w:rsidRDefault="00927847" w:rsidP="00927847">
      <w:pPr>
        <w:jc w:val="both"/>
        <w:rPr>
          <w:rFonts w:asciiTheme="minorHAnsi" w:hAnsiTheme="minorHAnsi" w:cstheme="minorHAnsi"/>
          <w:sz w:val="24"/>
          <w:szCs w:val="24"/>
        </w:rPr>
      </w:pPr>
      <w:r>
        <w:rPr>
          <w:rFonts w:asciiTheme="minorHAnsi" w:hAnsiTheme="minorHAnsi"/>
          <w:i/>
          <w:sz w:val="24"/>
        </w:rPr>
        <w:t>"The retail parks were already popular before the pandemic due to the number of expansion opportunities. During the pandemic and related measures, this trend has become even stronger and retail parks have become an established part of the retail chain portfolio,”</w:t>
      </w:r>
      <w:r>
        <w:rPr>
          <w:rFonts w:asciiTheme="minorHAnsi" w:hAnsiTheme="minorHAnsi"/>
          <w:sz w:val="24"/>
        </w:rPr>
        <w:t xml:space="preserve"> commented </w:t>
      </w:r>
      <w:r>
        <w:rPr>
          <w:rFonts w:asciiTheme="minorHAnsi" w:hAnsiTheme="minorHAnsi"/>
          <w:b/>
          <w:sz w:val="24"/>
        </w:rPr>
        <w:t xml:space="preserve">Jan </w:t>
      </w:r>
      <w:proofErr w:type="spellStart"/>
      <w:r>
        <w:rPr>
          <w:rFonts w:asciiTheme="minorHAnsi" w:hAnsiTheme="minorHAnsi"/>
          <w:b/>
          <w:sz w:val="24"/>
        </w:rPr>
        <w:t>Janáček</w:t>
      </w:r>
      <w:proofErr w:type="spellEnd"/>
      <w:r>
        <w:rPr>
          <w:rFonts w:asciiTheme="minorHAnsi" w:hAnsiTheme="minorHAnsi"/>
          <w:b/>
          <w:sz w:val="24"/>
        </w:rPr>
        <w:t xml:space="preserve">, Head of </w:t>
      </w:r>
      <w:r w:rsidR="00244D69">
        <w:rPr>
          <w:rFonts w:asciiTheme="minorHAnsi" w:hAnsiTheme="minorHAnsi"/>
          <w:b/>
          <w:sz w:val="24"/>
        </w:rPr>
        <w:t xml:space="preserve">A&amp;T Retail </w:t>
      </w:r>
      <w:r>
        <w:rPr>
          <w:rFonts w:asciiTheme="minorHAnsi" w:hAnsiTheme="minorHAnsi"/>
          <w:b/>
          <w:sz w:val="24"/>
        </w:rPr>
        <w:t xml:space="preserve">in CBRE. </w:t>
      </w:r>
    </w:p>
    <w:p w14:paraId="6F8E1E0B" w14:textId="77777777" w:rsidR="009F52D5" w:rsidRDefault="009F52D5" w:rsidP="00095345">
      <w:pPr>
        <w:jc w:val="both"/>
        <w:rPr>
          <w:rFonts w:asciiTheme="minorHAnsi" w:hAnsiTheme="minorHAnsi" w:cstheme="minorHAnsi"/>
          <w:sz w:val="24"/>
          <w:szCs w:val="24"/>
          <w:lang w:val="cs-CZ"/>
        </w:rPr>
      </w:pPr>
    </w:p>
    <w:p w14:paraId="2FC2AAB7" w14:textId="516F6580" w:rsidR="00514448" w:rsidRPr="00120D88" w:rsidRDefault="00517F6D" w:rsidP="00095345">
      <w:pPr>
        <w:jc w:val="both"/>
        <w:rPr>
          <w:rFonts w:asciiTheme="minorHAnsi" w:hAnsiTheme="minorHAnsi" w:cstheme="minorHAnsi"/>
          <w:sz w:val="24"/>
          <w:szCs w:val="24"/>
        </w:rPr>
      </w:pPr>
      <w:proofErr w:type="spellStart"/>
      <w:r>
        <w:rPr>
          <w:rFonts w:asciiTheme="minorHAnsi" w:hAnsiTheme="minorHAnsi"/>
          <w:b/>
          <w:sz w:val="24"/>
        </w:rPr>
        <w:t>Nákupní</w:t>
      </w:r>
      <w:proofErr w:type="spellEnd"/>
      <w:r>
        <w:rPr>
          <w:rFonts w:asciiTheme="minorHAnsi" w:hAnsiTheme="minorHAnsi"/>
          <w:b/>
          <w:sz w:val="24"/>
        </w:rPr>
        <w:t xml:space="preserve"> park </w:t>
      </w:r>
      <w:proofErr w:type="spellStart"/>
      <w:r>
        <w:rPr>
          <w:rFonts w:asciiTheme="minorHAnsi" w:hAnsiTheme="minorHAnsi"/>
          <w:b/>
          <w:sz w:val="24"/>
        </w:rPr>
        <w:t>Haná</w:t>
      </w:r>
      <w:proofErr w:type="spellEnd"/>
      <w:r>
        <w:rPr>
          <w:rFonts w:asciiTheme="minorHAnsi" w:hAnsiTheme="minorHAnsi"/>
          <w:b/>
          <w:sz w:val="24"/>
        </w:rPr>
        <w:t xml:space="preserve"> Olomouc</w:t>
      </w:r>
      <w:r>
        <w:rPr>
          <w:rFonts w:asciiTheme="minorHAnsi" w:hAnsiTheme="minorHAnsi"/>
          <w:sz w:val="24"/>
        </w:rPr>
        <w:t xml:space="preserve"> has a leasable area of 19,200 m</w:t>
      </w:r>
      <w:r>
        <w:rPr>
          <w:rFonts w:asciiTheme="minorHAnsi" w:hAnsiTheme="minorHAnsi"/>
          <w:sz w:val="24"/>
          <w:vertAlign w:val="superscript"/>
        </w:rPr>
        <w:t>2</w:t>
      </w:r>
      <w:r>
        <w:rPr>
          <w:rFonts w:asciiTheme="minorHAnsi" w:hAnsiTheme="minorHAnsi"/>
          <w:sz w:val="24"/>
        </w:rPr>
        <w:t xml:space="preserve">. About 70% of the area is occupied by furniture and housewares, specifically leading brands such as </w:t>
      </w:r>
      <w:proofErr w:type="spellStart"/>
      <w:r>
        <w:rPr>
          <w:rFonts w:asciiTheme="minorHAnsi" w:hAnsiTheme="minorHAnsi"/>
          <w:sz w:val="24"/>
        </w:rPr>
        <w:t>Möbelix</w:t>
      </w:r>
      <w:proofErr w:type="spellEnd"/>
      <w:r>
        <w:rPr>
          <w:rFonts w:asciiTheme="minorHAnsi" w:hAnsiTheme="minorHAnsi"/>
          <w:sz w:val="24"/>
        </w:rPr>
        <w:t xml:space="preserve">, </w:t>
      </w:r>
      <w:proofErr w:type="spellStart"/>
      <w:r>
        <w:rPr>
          <w:rFonts w:asciiTheme="minorHAnsi" w:hAnsiTheme="minorHAnsi"/>
          <w:sz w:val="24"/>
        </w:rPr>
        <w:t>Siko</w:t>
      </w:r>
      <w:proofErr w:type="spellEnd"/>
      <w:r>
        <w:rPr>
          <w:rFonts w:asciiTheme="minorHAnsi" w:hAnsiTheme="minorHAnsi"/>
          <w:sz w:val="24"/>
        </w:rPr>
        <w:t xml:space="preserve">, OKAY furniture, BRENO carpets and </w:t>
      </w:r>
      <w:proofErr w:type="spellStart"/>
      <w:r>
        <w:rPr>
          <w:rFonts w:asciiTheme="minorHAnsi" w:hAnsiTheme="minorHAnsi"/>
          <w:sz w:val="24"/>
        </w:rPr>
        <w:t>Jysk</w:t>
      </w:r>
      <w:proofErr w:type="spellEnd"/>
      <w:r>
        <w:rPr>
          <w:rFonts w:asciiTheme="minorHAnsi" w:hAnsiTheme="minorHAnsi"/>
          <w:sz w:val="24"/>
        </w:rPr>
        <w:t xml:space="preserve">. Another 14% is comprised of electronics (Electro World) and from next year the Lidl grocery store chain (9%). Brands from the area of fashions (33%), from the furniture and housewares sector (32%) and vendors of sports equipment (16%) are represented in </w:t>
      </w:r>
      <w:r>
        <w:rPr>
          <w:rFonts w:asciiTheme="minorHAnsi" w:hAnsiTheme="minorHAnsi"/>
          <w:b/>
          <w:sz w:val="24"/>
        </w:rPr>
        <w:t xml:space="preserve">Retail Park Ostrava </w:t>
      </w:r>
      <w:r>
        <w:rPr>
          <w:rFonts w:asciiTheme="minorHAnsi" w:hAnsiTheme="minorHAnsi"/>
          <w:sz w:val="24"/>
        </w:rPr>
        <w:t>with a total</w:t>
      </w:r>
      <w:r>
        <w:rPr>
          <w:rFonts w:asciiTheme="minorHAnsi" w:hAnsiTheme="minorHAnsi"/>
          <w:b/>
          <w:sz w:val="24"/>
        </w:rPr>
        <w:t xml:space="preserve"> </w:t>
      </w:r>
      <w:r>
        <w:rPr>
          <w:rFonts w:asciiTheme="minorHAnsi" w:hAnsiTheme="minorHAnsi"/>
          <w:sz w:val="24"/>
        </w:rPr>
        <w:t>leasable area of 10,300 m</w:t>
      </w:r>
      <w:r>
        <w:rPr>
          <w:rFonts w:asciiTheme="minorHAnsi" w:hAnsiTheme="minorHAnsi"/>
          <w:sz w:val="24"/>
          <w:vertAlign w:val="superscript"/>
        </w:rPr>
        <w:t>2</w:t>
      </w:r>
      <w:r>
        <w:rPr>
          <w:rFonts w:asciiTheme="minorHAnsi" w:hAnsiTheme="minorHAnsi"/>
          <w:sz w:val="24"/>
        </w:rPr>
        <w:t xml:space="preserve">. In the park you will find popular brands such as </w:t>
      </w:r>
      <w:proofErr w:type="spellStart"/>
      <w:r>
        <w:rPr>
          <w:rFonts w:asciiTheme="minorHAnsi" w:hAnsiTheme="minorHAnsi"/>
          <w:sz w:val="24"/>
        </w:rPr>
        <w:t>Sportisimo</w:t>
      </w:r>
      <w:proofErr w:type="spellEnd"/>
      <w:r>
        <w:rPr>
          <w:rFonts w:asciiTheme="minorHAnsi" w:hAnsiTheme="minorHAnsi"/>
          <w:sz w:val="24"/>
        </w:rPr>
        <w:t xml:space="preserve">, Decathlon, DM drugstore, </w:t>
      </w:r>
      <w:proofErr w:type="spellStart"/>
      <w:r>
        <w:rPr>
          <w:rFonts w:asciiTheme="minorHAnsi" w:hAnsiTheme="minorHAnsi"/>
          <w:sz w:val="24"/>
        </w:rPr>
        <w:t>Sinsay</w:t>
      </w:r>
      <w:proofErr w:type="spellEnd"/>
      <w:r>
        <w:rPr>
          <w:rFonts w:asciiTheme="minorHAnsi" w:hAnsiTheme="minorHAnsi"/>
          <w:sz w:val="24"/>
        </w:rPr>
        <w:t xml:space="preserve"> and Super zoo. Both parks are easily accessible by transport and offer a large number of free parking spaces.</w:t>
      </w:r>
    </w:p>
    <w:p w14:paraId="29FDD648" w14:textId="77777777" w:rsidR="00E875B5" w:rsidRPr="00095345" w:rsidRDefault="00E875B5" w:rsidP="008E3526">
      <w:pPr>
        <w:jc w:val="both"/>
        <w:rPr>
          <w:rFonts w:asciiTheme="minorHAnsi" w:hAnsiTheme="minorHAnsi" w:cstheme="minorHAnsi"/>
          <w:b/>
          <w:bCs/>
          <w:color w:val="FF0000"/>
          <w:sz w:val="24"/>
          <w:szCs w:val="24"/>
          <w:lang w:val="cs-CZ"/>
        </w:rPr>
      </w:pPr>
    </w:p>
    <w:p w14:paraId="0A124A2C" w14:textId="77777777" w:rsidR="00E875B5" w:rsidRPr="00095345" w:rsidRDefault="00E875B5" w:rsidP="008E3526">
      <w:pPr>
        <w:jc w:val="both"/>
        <w:rPr>
          <w:rFonts w:asciiTheme="minorHAnsi" w:hAnsiTheme="minorHAnsi" w:cstheme="minorHAnsi"/>
          <w:b/>
          <w:bCs/>
          <w:color w:val="FF0000"/>
          <w:sz w:val="24"/>
          <w:szCs w:val="24"/>
          <w:lang w:val="cs-CZ"/>
        </w:rPr>
      </w:pPr>
    </w:p>
    <w:p w14:paraId="00F63A3B" w14:textId="77777777" w:rsidR="008E3526" w:rsidRPr="00095345" w:rsidRDefault="008E3526" w:rsidP="008E3526">
      <w:pPr>
        <w:jc w:val="both"/>
        <w:rPr>
          <w:rFonts w:eastAsia="Calibri"/>
          <w:b/>
          <w:bCs/>
        </w:rPr>
      </w:pPr>
      <w:r>
        <w:rPr>
          <w:b/>
        </w:rPr>
        <w:lastRenderedPageBreak/>
        <w:t>Contact:</w:t>
      </w:r>
      <w:r>
        <w:rPr>
          <w:b/>
        </w:rPr>
        <w:br/>
      </w:r>
    </w:p>
    <w:p w14:paraId="012493D9" w14:textId="77777777" w:rsidR="008E3526" w:rsidRPr="00095345" w:rsidRDefault="008E3526" w:rsidP="008E3526">
      <w:pPr>
        <w:shd w:val="clear" w:color="auto" w:fill="FFFFFF"/>
        <w:spacing w:line="276" w:lineRule="auto"/>
        <w:rPr>
          <w:rFonts w:eastAsia="Times New Roman"/>
        </w:rPr>
      </w:pPr>
      <w:r>
        <w:rPr>
          <w:b/>
        </w:rPr>
        <w:t xml:space="preserve">Crest Communications, </w:t>
      </w:r>
      <w:proofErr w:type="spellStart"/>
      <w:r>
        <w:rPr>
          <w:b/>
        </w:rPr>
        <w:t>a.s</w:t>
      </w:r>
      <w:proofErr w:type="spellEnd"/>
      <w:r>
        <w:rPr>
          <w:b/>
        </w:rPr>
        <w:t>.</w:t>
      </w:r>
      <w:r>
        <w:rPr>
          <w:b/>
        </w:rPr>
        <w:br/>
      </w:r>
      <w:r>
        <w:t>Denisa Kolaříková</w:t>
      </w:r>
      <w:r>
        <w:tab/>
      </w:r>
      <w:r>
        <w:tab/>
      </w:r>
      <w:r>
        <w:tab/>
      </w:r>
      <w:r>
        <w:tab/>
      </w:r>
      <w:r>
        <w:tab/>
        <w:t>Kamila Čadková</w:t>
      </w:r>
      <w:r>
        <w:br/>
        <w:t>Account Manager</w:t>
      </w:r>
      <w:r>
        <w:tab/>
      </w:r>
      <w:r>
        <w:tab/>
      </w:r>
      <w:r>
        <w:tab/>
      </w:r>
      <w:r>
        <w:tab/>
      </w:r>
      <w:r>
        <w:tab/>
        <w:t>Account Director</w:t>
      </w:r>
      <w:r>
        <w:br/>
        <w:t>Gsm: +420 731 613 606</w:t>
      </w:r>
      <w:r>
        <w:tab/>
      </w:r>
      <w:r>
        <w:tab/>
      </w:r>
      <w:r>
        <w:tab/>
      </w:r>
      <w:r>
        <w:tab/>
      </w:r>
      <w:r>
        <w:tab/>
        <w:t>Gsm: +420 731 613 609</w:t>
      </w:r>
      <w:r>
        <w:br/>
        <w:t xml:space="preserve">email: </w:t>
      </w:r>
      <w:r>
        <w:rPr>
          <w:color w:val="0000FF"/>
          <w:u w:val="single"/>
        </w:rPr>
        <w:t>denisa.kolarikova@crestcom.cz</w:t>
      </w:r>
      <w:r>
        <w:rPr>
          <w:color w:val="0000FF"/>
        </w:rPr>
        <w:tab/>
      </w:r>
      <w:r>
        <w:rPr>
          <w:color w:val="0000FF"/>
        </w:rPr>
        <w:tab/>
      </w:r>
      <w:r>
        <w:rPr>
          <w:color w:val="0000FF"/>
        </w:rPr>
        <w:tab/>
      </w:r>
      <w:r>
        <w:t xml:space="preserve">email: </w:t>
      </w:r>
      <w:hyperlink r:id="rId7" w:history="1">
        <w:r>
          <w:rPr>
            <w:rStyle w:val="Hypertextovodkaz"/>
          </w:rPr>
          <w:t>kamila.cadkova@crestcom.cz</w:t>
        </w:r>
      </w:hyperlink>
      <w:r>
        <w:rPr>
          <w:color w:val="0000FF"/>
          <w:u w:val="single"/>
        </w:rPr>
        <w:br/>
      </w:r>
      <w:hyperlink r:id="rId8" w:history="1">
        <w:r>
          <w:rPr>
            <w:rStyle w:val="Hypertextovodkaz"/>
          </w:rPr>
          <w:t>www.crestcom.cz</w:t>
        </w:r>
      </w:hyperlink>
    </w:p>
    <w:p w14:paraId="734897F7" w14:textId="77777777" w:rsidR="008E3526" w:rsidRPr="00095345" w:rsidRDefault="008E3526" w:rsidP="008E3526">
      <w:pPr>
        <w:jc w:val="both"/>
        <w:rPr>
          <w:rFonts w:eastAsia="Calibri"/>
          <w:bCs/>
          <w:lang w:val="cs-CZ"/>
        </w:rPr>
      </w:pPr>
    </w:p>
    <w:p w14:paraId="42FAC38B" w14:textId="77777777" w:rsidR="008E3526" w:rsidRPr="00095345" w:rsidRDefault="008E3526" w:rsidP="008E3526">
      <w:pPr>
        <w:pStyle w:val="paragraph"/>
        <w:spacing w:before="0" w:beforeAutospacing="0" w:after="0" w:afterAutospacing="0"/>
        <w:contextualSpacing/>
        <w:textAlignment w:val="baseline"/>
        <w:rPr>
          <w:rFonts w:asciiTheme="minorHAnsi" w:hAnsiTheme="minorHAnsi" w:cstheme="minorHAnsi"/>
          <w:color w:val="000000"/>
          <w:sz w:val="22"/>
          <w:szCs w:val="22"/>
        </w:rPr>
      </w:pPr>
      <w:r>
        <w:rPr>
          <w:rStyle w:val="normaltextrun"/>
          <w:rFonts w:asciiTheme="minorHAnsi" w:hAnsiTheme="minorHAnsi"/>
          <w:b/>
          <w:color w:val="000000"/>
          <w:sz w:val="22"/>
        </w:rPr>
        <w:t>CBRE</w:t>
      </w:r>
      <w:r>
        <w:rPr>
          <w:rStyle w:val="normaltextrun"/>
          <w:rFonts w:asciiTheme="minorHAnsi" w:hAnsiTheme="minorHAnsi"/>
          <w:b/>
          <w:color w:val="000000"/>
          <w:sz w:val="22"/>
        </w:rPr>
        <w:br/>
      </w:r>
      <w:r>
        <w:rPr>
          <w:rStyle w:val="normaltextrun"/>
          <w:rFonts w:asciiTheme="minorHAnsi" w:hAnsiTheme="minorHAnsi"/>
          <w:color w:val="000000"/>
          <w:sz w:val="22"/>
        </w:rPr>
        <w:t>Renata Mrázová, Senior Communication Specialist, +420 604 308 765, </w:t>
      </w:r>
      <w:hyperlink r:id="rId9" w:history="1">
        <w:r>
          <w:rPr>
            <w:rStyle w:val="Hypertextovodkaz"/>
            <w:rFonts w:asciiTheme="minorHAnsi" w:hAnsiTheme="minorHAnsi"/>
            <w:sz w:val="22"/>
          </w:rPr>
          <w:t>renata.mrazova@cbre.com</w:t>
        </w:r>
      </w:hyperlink>
      <w:r>
        <w:rPr>
          <w:rStyle w:val="normaltextrun"/>
          <w:rFonts w:asciiTheme="minorHAnsi" w:hAnsiTheme="minorHAnsi"/>
          <w:color w:val="000000"/>
          <w:sz w:val="22"/>
          <w:u w:val="single"/>
        </w:rPr>
        <w:br/>
      </w:r>
      <w:r>
        <w:rPr>
          <w:rStyle w:val="normaltextrun"/>
          <w:rFonts w:asciiTheme="minorHAnsi" w:hAnsiTheme="minorHAnsi"/>
          <w:color w:val="000000"/>
          <w:sz w:val="22"/>
        </w:rPr>
        <w:t>CBRE Czech Republic</w:t>
      </w:r>
      <w:r>
        <w:rPr>
          <w:rStyle w:val="normaltextrun"/>
          <w:rFonts w:asciiTheme="minorHAnsi" w:hAnsiTheme="minorHAnsi"/>
          <w:color w:val="1F497D"/>
          <w:sz w:val="22"/>
        </w:rPr>
        <w:t> </w:t>
      </w:r>
      <w:hyperlink r:id="rId10" w:tgtFrame="_blank" w:history="1">
        <w:r>
          <w:rPr>
            <w:rStyle w:val="normaltextrun"/>
            <w:rFonts w:asciiTheme="minorHAnsi" w:hAnsiTheme="minorHAnsi"/>
            <w:color w:val="0000FF"/>
            <w:sz w:val="22"/>
            <w:u w:val="single"/>
          </w:rPr>
          <w:t>Facebook</w:t>
        </w:r>
      </w:hyperlink>
      <w:r>
        <w:rPr>
          <w:rStyle w:val="normaltextrun"/>
          <w:rFonts w:asciiTheme="minorHAnsi" w:hAnsiTheme="minorHAnsi"/>
          <w:color w:val="0000FF"/>
          <w:sz w:val="22"/>
          <w:u w:val="single"/>
        </w:rPr>
        <w:t>,</w:t>
      </w:r>
      <w:r>
        <w:rPr>
          <w:rStyle w:val="normaltextrun"/>
          <w:rFonts w:asciiTheme="minorHAnsi" w:hAnsiTheme="minorHAnsi"/>
          <w:color w:val="0000FF"/>
          <w:sz w:val="22"/>
        </w:rPr>
        <w:t> </w:t>
      </w:r>
      <w:proofErr w:type="spellStart"/>
      <w:r w:rsidR="00A06697">
        <w:fldChar w:fldCharType="begin"/>
      </w:r>
      <w:r w:rsidR="00A06697">
        <w:instrText xml:space="preserve"> HYPERLINK "https://www.linkedin.com/company/3585825?trk=tyah&amp;trkInfo=clickedVertical%3Acompany%2Cidx%3A1-1-1%2CtarId%3A1431360641868%2Ctas%3Acbre%20czech" \t "_blank" </w:instrText>
      </w:r>
      <w:r w:rsidR="00A06697">
        <w:fldChar w:fldCharType="separate"/>
      </w:r>
      <w:r>
        <w:rPr>
          <w:rStyle w:val="normaltextrun"/>
          <w:rFonts w:asciiTheme="minorHAnsi" w:hAnsiTheme="minorHAnsi"/>
          <w:color w:val="0000FF"/>
          <w:sz w:val="22"/>
          <w:u w:val="single"/>
        </w:rPr>
        <w:t>Linkedin</w:t>
      </w:r>
      <w:proofErr w:type="spellEnd"/>
      <w:r w:rsidR="00A06697">
        <w:rPr>
          <w:rStyle w:val="normaltextrun"/>
          <w:rFonts w:asciiTheme="minorHAnsi" w:hAnsiTheme="minorHAnsi"/>
          <w:color w:val="0000FF"/>
          <w:sz w:val="22"/>
          <w:u w:val="single"/>
        </w:rPr>
        <w:fldChar w:fldCharType="end"/>
      </w:r>
      <w:r>
        <w:rPr>
          <w:rStyle w:val="normaltextrun"/>
          <w:rFonts w:asciiTheme="minorHAnsi" w:hAnsiTheme="minorHAnsi"/>
          <w:color w:val="000000"/>
          <w:sz w:val="22"/>
        </w:rPr>
        <w:t>, </w:t>
      </w:r>
      <w:hyperlink r:id="rId11" w:tgtFrame="_blank" w:history="1">
        <w:r>
          <w:rPr>
            <w:rStyle w:val="normaltextrun"/>
            <w:rFonts w:asciiTheme="minorHAnsi" w:hAnsiTheme="minorHAnsi"/>
            <w:color w:val="0000FF"/>
            <w:sz w:val="22"/>
            <w:u w:val="single"/>
          </w:rPr>
          <w:t>Instagram</w:t>
        </w:r>
      </w:hyperlink>
      <w:r>
        <w:rPr>
          <w:rStyle w:val="eop"/>
          <w:rFonts w:asciiTheme="minorHAnsi" w:hAnsiTheme="minorHAnsi"/>
          <w:color w:val="000000"/>
          <w:sz w:val="22"/>
        </w:rPr>
        <w:t> </w:t>
      </w:r>
    </w:p>
    <w:p w14:paraId="2FA49C95" w14:textId="7D203763" w:rsidR="008E3526" w:rsidRPr="00095345" w:rsidRDefault="008E3526" w:rsidP="008E3526">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u w:val="single"/>
        </w:rPr>
      </w:pPr>
      <w:r>
        <w:rPr>
          <w:rStyle w:val="scxw231575668"/>
          <w:rFonts w:asciiTheme="minorHAnsi" w:hAnsiTheme="minorHAnsi"/>
          <w:color w:val="000000"/>
        </w:rPr>
        <w:t> </w:t>
      </w:r>
      <w:r>
        <w:rPr>
          <w:rFonts w:asciiTheme="minorHAnsi" w:hAnsiTheme="minorHAnsi"/>
          <w:color w:val="000000"/>
        </w:rPr>
        <w:br/>
      </w:r>
    </w:p>
    <w:p w14:paraId="292C90E0" w14:textId="7B420AC8" w:rsidR="008E3526" w:rsidRPr="00CF2919" w:rsidRDefault="008E3526" w:rsidP="008E3526">
      <w:pPr>
        <w:pStyle w:val="paragraph"/>
        <w:spacing w:before="0" w:beforeAutospacing="0" w:after="0" w:afterAutospacing="0"/>
        <w:jc w:val="both"/>
        <w:textAlignment w:val="baseline"/>
        <w:rPr>
          <w:rFonts w:asciiTheme="minorHAnsi" w:hAnsiTheme="minorHAnsi" w:cstheme="minorHAnsi"/>
          <w:color w:val="000000"/>
          <w:sz w:val="18"/>
          <w:szCs w:val="18"/>
        </w:rPr>
      </w:pPr>
      <w:r w:rsidRPr="00CF2919">
        <w:rPr>
          <w:rStyle w:val="normaltextrun"/>
          <w:rFonts w:asciiTheme="minorHAnsi" w:hAnsiTheme="minorHAnsi"/>
          <w:b/>
          <w:color w:val="000000"/>
          <w:sz w:val="18"/>
          <w:szCs w:val="18"/>
          <w:u w:val="single"/>
        </w:rPr>
        <w:t>ABOUT CBRE</w:t>
      </w:r>
      <w:r w:rsidRPr="00CF2919">
        <w:rPr>
          <w:rStyle w:val="eop"/>
          <w:rFonts w:asciiTheme="minorHAnsi" w:hAnsiTheme="minorHAnsi"/>
          <w:color w:val="000000"/>
          <w:sz w:val="18"/>
          <w:szCs w:val="18"/>
        </w:rPr>
        <w:t> </w:t>
      </w:r>
    </w:p>
    <w:p w14:paraId="2DBEB200" w14:textId="77777777" w:rsidR="008E3526" w:rsidRPr="00CF2919" w:rsidRDefault="008E3526" w:rsidP="008E3526">
      <w:pPr>
        <w:pStyle w:val="paragraph"/>
        <w:spacing w:before="0" w:beforeAutospacing="0" w:after="0" w:afterAutospacing="0"/>
        <w:jc w:val="both"/>
        <w:textAlignment w:val="baseline"/>
        <w:rPr>
          <w:rFonts w:asciiTheme="minorHAnsi" w:eastAsia="Calibri" w:hAnsiTheme="minorHAnsi" w:cstheme="minorHAnsi"/>
          <w:bCs/>
          <w:sz w:val="18"/>
          <w:szCs w:val="18"/>
        </w:rPr>
      </w:pPr>
      <w:r w:rsidRPr="00CF2919">
        <w:rPr>
          <w:rStyle w:val="normaltextrun"/>
          <w:sz w:val="18"/>
          <w:szCs w:val="18"/>
        </w:rPr>
        <w:t>CBRE Group, a Fortune 500 and S&amp;P 500 company headquartered in Los Angeles, is the world’s largest commercial real estate services and investment firm (based on 2020 revenue).</w:t>
      </w:r>
      <w:r w:rsidRPr="00CF2919">
        <w:rPr>
          <w:rStyle w:val="normaltextrun"/>
          <w:rFonts w:asciiTheme="minorHAnsi" w:hAnsiTheme="minorHAnsi"/>
          <w:color w:val="000000"/>
          <w:sz w:val="18"/>
          <w:szCs w:val="18"/>
        </w:rPr>
        <w:t xml:space="preserve"> With approximately 100,000 employees, it provides services to property owners, investors and occupiers through more than 530 branches worldwide (not including affiliates). CBRE offers a broad range of integrated services, from facility management and maintenance, commercial transactions, project management and investment management to appraisals and valuation, property leasing and sales, strategic consulting, mortgage services and development services. </w:t>
      </w:r>
      <w:r w:rsidRPr="00CF2919">
        <w:rPr>
          <w:rStyle w:val="normaltextrun"/>
          <w:sz w:val="18"/>
          <w:szCs w:val="18"/>
        </w:rPr>
        <w:t>With almost 350 employees, CBRE Czech Republic manages almost 75 commercial buildings with a total area of nearly 1.2 million m2.</w:t>
      </w:r>
      <w:r w:rsidRPr="00CF2919">
        <w:rPr>
          <w:rStyle w:val="normaltextrun"/>
          <w:rFonts w:asciiTheme="minorHAnsi" w:hAnsiTheme="minorHAnsi"/>
          <w:color w:val="000000"/>
          <w:sz w:val="18"/>
          <w:szCs w:val="18"/>
        </w:rPr>
        <w:t xml:space="preserve"> For more information, visit the company’s website at </w:t>
      </w:r>
      <w:hyperlink r:id="rId12" w:tgtFrame="_blank" w:history="1">
        <w:r w:rsidRPr="00CF2919">
          <w:rPr>
            <w:rStyle w:val="normaltextrun"/>
            <w:rFonts w:asciiTheme="minorHAnsi" w:hAnsiTheme="minorHAnsi"/>
            <w:color w:val="0000FF"/>
            <w:sz w:val="18"/>
            <w:szCs w:val="18"/>
            <w:u w:val="single"/>
          </w:rPr>
          <w:t>www.cbre.cz</w:t>
        </w:r>
      </w:hyperlink>
      <w:r w:rsidRPr="00CF2919">
        <w:rPr>
          <w:rStyle w:val="normaltextrun"/>
          <w:rFonts w:asciiTheme="minorHAnsi" w:hAnsiTheme="minorHAnsi"/>
          <w:color w:val="000000"/>
          <w:sz w:val="18"/>
          <w:szCs w:val="18"/>
        </w:rPr>
        <w:t>.</w:t>
      </w:r>
      <w:r w:rsidRPr="00CF2919">
        <w:rPr>
          <w:rStyle w:val="eop"/>
          <w:rFonts w:asciiTheme="minorHAnsi" w:hAnsiTheme="minorHAnsi"/>
          <w:color w:val="000000"/>
          <w:sz w:val="18"/>
          <w:szCs w:val="18"/>
        </w:rPr>
        <w:t> </w:t>
      </w:r>
    </w:p>
    <w:p w14:paraId="74AD8E8D" w14:textId="77777777" w:rsidR="009F1AA9" w:rsidRPr="00095345" w:rsidRDefault="009F1AA9" w:rsidP="008E3526">
      <w:pPr>
        <w:jc w:val="both"/>
        <w:rPr>
          <w:rFonts w:asciiTheme="minorHAnsi" w:hAnsiTheme="minorHAnsi" w:cstheme="minorHAnsi"/>
          <w:lang w:val="cs-CZ"/>
        </w:rPr>
      </w:pPr>
    </w:p>
    <w:sectPr w:rsidR="009F1AA9" w:rsidRPr="00095345" w:rsidSect="00B27D82">
      <w:headerReference w:type="default" r:id="rId13"/>
      <w:pgSz w:w="11906" w:h="16838"/>
      <w:pgMar w:top="217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86B42" w14:textId="77777777" w:rsidR="00B11550" w:rsidRDefault="00B11550" w:rsidP="00B27D82">
      <w:r>
        <w:separator/>
      </w:r>
    </w:p>
  </w:endnote>
  <w:endnote w:type="continuationSeparator" w:id="0">
    <w:p w14:paraId="7FA582CF" w14:textId="77777777" w:rsidR="00B11550" w:rsidRDefault="00B11550" w:rsidP="00B2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utura Bk BT">
    <w:altName w:val="Segoe UI"/>
    <w:charset w:val="00"/>
    <w:family w:val="swiss"/>
    <w:pitch w:val="variable"/>
    <w:sig w:usb0="800000AF" w:usb1="1000204A" w:usb2="00000000" w:usb3="00000000" w:csb0="0000001B"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3D517" w14:textId="77777777" w:rsidR="00B11550" w:rsidRDefault="00B11550" w:rsidP="00B27D82">
      <w:bookmarkStart w:id="0" w:name="_Hlk60922838"/>
      <w:bookmarkEnd w:id="0"/>
      <w:r>
        <w:separator/>
      </w:r>
    </w:p>
  </w:footnote>
  <w:footnote w:type="continuationSeparator" w:id="0">
    <w:p w14:paraId="4FFB2D16" w14:textId="77777777" w:rsidR="00B11550" w:rsidRDefault="00B11550" w:rsidP="00B27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BE3A" w14:textId="77777777" w:rsidR="00B27D82" w:rsidRPr="006F1F32" w:rsidRDefault="00B27D82" w:rsidP="00B27D82">
    <w:pPr>
      <w:pStyle w:val="AddressArea"/>
      <w:ind w:left="552"/>
      <w:jc w:val="right"/>
      <w:rPr>
        <w:rFonts w:ascii="Arial" w:hAnsi="Arial" w:cs="Arial"/>
      </w:rPr>
    </w:pPr>
    <w:r>
      <w:rPr>
        <w:noProof/>
        <w:lang w:val="cs-CZ" w:eastAsia="cs-CZ"/>
      </w:rPr>
      <w:drawing>
        <wp:anchor distT="0" distB="0" distL="114300" distR="114300" simplePos="0" relativeHeight="251660288" behindDoc="0" locked="0" layoutInCell="1" allowOverlap="1" wp14:anchorId="75CDBD75" wp14:editId="70EA27D0">
          <wp:simplePos x="0" y="0"/>
          <wp:positionH relativeFrom="margin">
            <wp:align>right</wp:align>
          </wp:positionH>
          <wp:positionV relativeFrom="paragraph">
            <wp:posOffset>-91440</wp:posOffset>
          </wp:positionV>
          <wp:extent cx="1264920" cy="3124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0"/>
        <w:lang w:val="cs-CZ" w:eastAsia="cs-CZ"/>
      </w:rPr>
      <mc:AlternateContent>
        <mc:Choice Requires="wps">
          <w:drawing>
            <wp:anchor distT="0" distB="0" distL="114300" distR="114300" simplePos="0" relativeHeight="251659264" behindDoc="0" locked="0" layoutInCell="0" allowOverlap="1" wp14:anchorId="62064F92" wp14:editId="27277B5E">
              <wp:simplePos x="0" y="0"/>
              <wp:positionH relativeFrom="column">
                <wp:posOffset>-229235</wp:posOffset>
              </wp:positionH>
              <wp:positionV relativeFrom="paragraph">
                <wp:posOffset>-106680</wp:posOffset>
              </wp:positionV>
              <wp:extent cx="4800600" cy="1005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48B22" w14:textId="77777777" w:rsidR="00B27D82" w:rsidRPr="00B27D82" w:rsidRDefault="00B27D82" w:rsidP="00B27D82">
                          <w:pPr>
                            <w:ind w:left="180"/>
                            <w:rPr>
                              <w:rFonts w:ascii="Arial" w:hAnsi="Arial" w:cs="Arial"/>
                              <w:spacing w:val="118"/>
                              <w:sz w:val="30"/>
                              <w:szCs w:val="30"/>
                              <w:lang w:val="cs-CZ"/>
                            </w:rPr>
                          </w:pPr>
                        </w:p>
                        <w:p w14:paraId="194A63DB" w14:textId="77777777" w:rsidR="00B27D82" w:rsidRDefault="00B27D82" w:rsidP="00B27D82">
                          <w:pPr>
                            <w:ind w:left="180"/>
                            <w:rPr>
                              <w:rFonts w:ascii="Arial" w:hAnsi="Arial" w:cs="Arial"/>
                              <w:spacing w:val="118"/>
                              <w:sz w:val="48"/>
                              <w:lang w:val="cs-CZ"/>
                            </w:rPr>
                          </w:pPr>
                        </w:p>
                        <w:p w14:paraId="55E58D7E" w14:textId="3E2174F2" w:rsidR="00B27D82" w:rsidRPr="005431BC" w:rsidRDefault="008E3526" w:rsidP="00B27D82">
                          <w:pPr>
                            <w:ind w:left="180"/>
                            <w:rPr>
                              <w:rFonts w:ascii="Arial" w:hAnsi="Arial" w:cs="Arial"/>
                              <w:spacing w:val="118"/>
                              <w:sz w:val="48"/>
                            </w:rPr>
                          </w:pPr>
                          <w:r>
                            <w:rPr>
                              <w:rFonts w:ascii="Arial" w:hAnsi="Arial"/>
                              <w:sz w:val="48"/>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064F92" id="_x0000_t202" coordsize="21600,21600" o:spt="202" path="m,l,21600r21600,l21600,xe">
              <v:stroke joinstyle="miter"/>
              <v:path gradientshapeok="t" o:connecttype="rect"/>
            </v:shapetype>
            <v:shape id="Text Box 1" o:spid="_x0000_s1026" type="#_x0000_t202" style="position:absolute;left:0;text-align:left;margin-left:-18.05pt;margin-top:-8.4pt;width:378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" o:allowincell="f" filled="f" stroked="f">
              <v:textbox>
                <w:txbxContent>
                  <w:p w14:paraId="30B48B22" w14:textId="77777777" w:rsidR="00B27D82" w:rsidRPr="00B27D82" w:rsidRDefault="00B27D82" w:rsidP="00B27D82">
                    <w:pPr>
                      <w:ind w:left="180"/>
                      <w:rPr>
                        <w:rFonts w:ascii="Arial" w:hAnsi="Arial" w:cs="Arial"/>
                        <w:spacing w:val="118"/>
                        <w:sz w:val="30"/>
                        <w:szCs w:val="30"/>
                        <w:lang w:val="cs-CZ"/>
                      </w:rPr>
                    </w:pPr>
                  </w:p>
                  <w:p w14:paraId="194A63DB" w14:textId="77777777" w:rsidR="00B27D82" w:rsidRDefault="00B27D82" w:rsidP="00B27D82">
                    <w:pPr>
                      <w:ind w:left="180"/>
                      <w:rPr>
                        <w:rFonts w:ascii="Arial" w:hAnsi="Arial" w:cs="Arial"/>
                        <w:spacing w:val="118"/>
                        <w:sz w:val="48"/>
                        <w:lang w:val="cs-CZ"/>
                      </w:rPr>
                    </w:pPr>
                  </w:p>
                  <w:p w14:paraId="55E58D7E" w14:textId="3E2174F2" w:rsidR="00B27D82" w:rsidRPr="005431BC" w:rsidRDefault="008E3526" w:rsidP="00B27D82">
                    <w:pPr>
                      <w:ind w:left="180"/>
                      <w:rPr>
                        <w:rFonts w:ascii="Arial" w:hAnsi="Arial" w:cs="Arial"/>
                        <w:spacing w:val="118"/>
                        <w:sz w:val="48"/>
                      </w:rPr>
                    </w:pPr>
                    <w:r>
                      <w:rPr>
                        <w:rFonts w:ascii="Arial" w:hAnsi="Arial"/>
                        <w:sz w:val="48"/>
                      </w:rPr>
                      <w:t>PRESS RELEASE</w:t>
                    </w:r>
                  </w:p>
                </w:txbxContent>
              </v:textbox>
            </v:shape>
          </w:pict>
        </mc:Fallback>
      </mc:AlternateContent>
    </w:r>
  </w:p>
  <w:p w14:paraId="4BE79EB2" w14:textId="77777777" w:rsidR="00B27D82" w:rsidRDefault="00B27D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xMDIxMDE1NDWzMDRQ0lEKTi0uzszPAykwqgUAIYcqgywAAAA="/>
  </w:docVars>
  <w:rsids>
    <w:rsidRoot w:val="002A0D3F"/>
    <w:rsid w:val="0004284B"/>
    <w:rsid w:val="00062E0F"/>
    <w:rsid w:val="000662E9"/>
    <w:rsid w:val="00070B3A"/>
    <w:rsid w:val="00095345"/>
    <w:rsid w:val="000A0E3B"/>
    <w:rsid w:val="000E6EDE"/>
    <w:rsid w:val="000F3B97"/>
    <w:rsid w:val="000F3E3F"/>
    <w:rsid w:val="00103E37"/>
    <w:rsid w:val="00120D88"/>
    <w:rsid w:val="00154CF8"/>
    <w:rsid w:val="00171B13"/>
    <w:rsid w:val="0017774D"/>
    <w:rsid w:val="001B60D4"/>
    <w:rsid w:val="001C1D88"/>
    <w:rsid w:val="001C487F"/>
    <w:rsid w:val="001C7EB6"/>
    <w:rsid w:val="001D73BC"/>
    <w:rsid w:val="001E771D"/>
    <w:rsid w:val="00210D00"/>
    <w:rsid w:val="00224857"/>
    <w:rsid w:val="00244D69"/>
    <w:rsid w:val="002454C6"/>
    <w:rsid w:val="002546B6"/>
    <w:rsid w:val="00255A45"/>
    <w:rsid w:val="00263820"/>
    <w:rsid w:val="00274CB1"/>
    <w:rsid w:val="00284BFA"/>
    <w:rsid w:val="002A0D3F"/>
    <w:rsid w:val="002B6FEB"/>
    <w:rsid w:val="002D3CFD"/>
    <w:rsid w:val="002E665C"/>
    <w:rsid w:val="002F75B2"/>
    <w:rsid w:val="00322B36"/>
    <w:rsid w:val="0032682B"/>
    <w:rsid w:val="00326ADE"/>
    <w:rsid w:val="00362907"/>
    <w:rsid w:val="003C6F94"/>
    <w:rsid w:val="003D4FB3"/>
    <w:rsid w:val="003D514B"/>
    <w:rsid w:val="00437953"/>
    <w:rsid w:val="00451B60"/>
    <w:rsid w:val="0047382C"/>
    <w:rsid w:val="004776A4"/>
    <w:rsid w:val="004A5677"/>
    <w:rsid w:val="004E5CF9"/>
    <w:rsid w:val="004E5EC4"/>
    <w:rsid w:val="00514448"/>
    <w:rsid w:val="00517F6D"/>
    <w:rsid w:val="005221A7"/>
    <w:rsid w:val="00527601"/>
    <w:rsid w:val="00564A86"/>
    <w:rsid w:val="00567331"/>
    <w:rsid w:val="00576085"/>
    <w:rsid w:val="00581BD6"/>
    <w:rsid w:val="00586CF6"/>
    <w:rsid w:val="005B2FB0"/>
    <w:rsid w:val="00606D14"/>
    <w:rsid w:val="006509BB"/>
    <w:rsid w:val="006605D3"/>
    <w:rsid w:val="0067138F"/>
    <w:rsid w:val="0068159E"/>
    <w:rsid w:val="006B2FB3"/>
    <w:rsid w:val="006C79C8"/>
    <w:rsid w:val="006D7540"/>
    <w:rsid w:val="006E0524"/>
    <w:rsid w:val="006F05B3"/>
    <w:rsid w:val="007116AC"/>
    <w:rsid w:val="00753D55"/>
    <w:rsid w:val="00755538"/>
    <w:rsid w:val="00782864"/>
    <w:rsid w:val="0079079F"/>
    <w:rsid w:val="007B2612"/>
    <w:rsid w:val="007D5AF6"/>
    <w:rsid w:val="00806BF7"/>
    <w:rsid w:val="00840C5F"/>
    <w:rsid w:val="00841113"/>
    <w:rsid w:val="00876DE3"/>
    <w:rsid w:val="008A0DB6"/>
    <w:rsid w:val="008C0C86"/>
    <w:rsid w:val="008E3526"/>
    <w:rsid w:val="009046D7"/>
    <w:rsid w:val="009054B0"/>
    <w:rsid w:val="00927847"/>
    <w:rsid w:val="00932D5A"/>
    <w:rsid w:val="0093473E"/>
    <w:rsid w:val="00936E14"/>
    <w:rsid w:val="009771D4"/>
    <w:rsid w:val="00983722"/>
    <w:rsid w:val="00987B88"/>
    <w:rsid w:val="00994132"/>
    <w:rsid w:val="009B7E59"/>
    <w:rsid w:val="009C3853"/>
    <w:rsid w:val="009F1AA9"/>
    <w:rsid w:val="009F52D5"/>
    <w:rsid w:val="00A06697"/>
    <w:rsid w:val="00A354FD"/>
    <w:rsid w:val="00A6000B"/>
    <w:rsid w:val="00A6095D"/>
    <w:rsid w:val="00A81338"/>
    <w:rsid w:val="00A908E2"/>
    <w:rsid w:val="00AA2950"/>
    <w:rsid w:val="00AA2C1D"/>
    <w:rsid w:val="00AA72BD"/>
    <w:rsid w:val="00AA7DFF"/>
    <w:rsid w:val="00AB1414"/>
    <w:rsid w:val="00AE6B91"/>
    <w:rsid w:val="00B11550"/>
    <w:rsid w:val="00B1478D"/>
    <w:rsid w:val="00B2263E"/>
    <w:rsid w:val="00B251B5"/>
    <w:rsid w:val="00B255B2"/>
    <w:rsid w:val="00B27D82"/>
    <w:rsid w:val="00B334B1"/>
    <w:rsid w:val="00B9626A"/>
    <w:rsid w:val="00BD32BB"/>
    <w:rsid w:val="00BF49AA"/>
    <w:rsid w:val="00C00F47"/>
    <w:rsid w:val="00C07033"/>
    <w:rsid w:val="00C136DD"/>
    <w:rsid w:val="00C339D8"/>
    <w:rsid w:val="00C53673"/>
    <w:rsid w:val="00C66593"/>
    <w:rsid w:val="00CE0544"/>
    <w:rsid w:val="00CF05C1"/>
    <w:rsid w:val="00CF2919"/>
    <w:rsid w:val="00D01273"/>
    <w:rsid w:val="00D64706"/>
    <w:rsid w:val="00D946A5"/>
    <w:rsid w:val="00DA1450"/>
    <w:rsid w:val="00DB7669"/>
    <w:rsid w:val="00DD389C"/>
    <w:rsid w:val="00DE513C"/>
    <w:rsid w:val="00E35327"/>
    <w:rsid w:val="00E61DD1"/>
    <w:rsid w:val="00E62267"/>
    <w:rsid w:val="00E84D88"/>
    <w:rsid w:val="00E875B5"/>
    <w:rsid w:val="00EA4905"/>
    <w:rsid w:val="00ED1BAC"/>
    <w:rsid w:val="00F14465"/>
    <w:rsid w:val="00F160E7"/>
    <w:rsid w:val="00F30BFB"/>
    <w:rsid w:val="00F372B3"/>
    <w:rsid w:val="00F43682"/>
    <w:rsid w:val="00F4431D"/>
    <w:rsid w:val="00F560FC"/>
    <w:rsid w:val="00F80768"/>
    <w:rsid w:val="00F82D1D"/>
    <w:rsid w:val="00F83E44"/>
    <w:rsid w:val="00F96398"/>
    <w:rsid w:val="00FB0D1B"/>
    <w:rsid w:val="00FD5D27"/>
    <w:rsid w:val="3BBD4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A3605"/>
  <w15:chartTrackingRefBased/>
  <w15:docId w15:val="{3B2FD8DE-817E-4820-83C0-2BD916C2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0D3F"/>
    <w:pPr>
      <w:spacing w:after="0" w:line="240" w:lineRule="auto"/>
    </w:pPr>
    <w:rPr>
      <w:rFonts w:ascii="Calibri" w:hAnsi="Calibri" w:cs="Calibri"/>
    </w:rPr>
  </w:style>
  <w:style w:type="paragraph" w:styleId="Nadpis2">
    <w:name w:val="heading 2"/>
    <w:basedOn w:val="Normln"/>
    <w:next w:val="Normln"/>
    <w:link w:val="Nadpis2Char"/>
    <w:qFormat/>
    <w:rsid w:val="00AA72BD"/>
    <w:pPr>
      <w:keepNext/>
      <w:autoSpaceDE w:val="0"/>
      <w:autoSpaceDN w:val="0"/>
      <w:adjustRightInd w:val="0"/>
      <w:outlineLvl w:val="1"/>
    </w:pPr>
    <w:rPr>
      <w:rFonts w:ascii="Futura Bk BT" w:eastAsia="Times New Roman" w:hAnsi="Futura Bk BT" w:cs="Arial"/>
      <w:b/>
      <w:bCs/>
      <w:color w:val="8080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nhideWhenUsed/>
    <w:rsid w:val="00F372B3"/>
    <w:rPr>
      <w:sz w:val="16"/>
      <w:szCs w:val="16"/>
    </w:rPr>
  </w:style>
  <w:style w:type="paragraph" w:styleId="Textkomente">
    <w:name w:val="annotation text"/>
    <w:basedOn w:val="Normln"/>
    <w:link w:val="TextkomenteChar"/>
    <w:unhideWhenUsed/>
    <w:rsid w:val="00F372B3"/>
    <w:rPr>
      <w:sz w:val="20"/>
      <w:szCs w:val="20"/>
    </w:rPr>
  </w:style>
  <w:style w:type="character" w:customStyle="1" w:styleId="TextkomenteChar">
    <w:name w:val="Text komentáře Char"/>
    <w:basedOn w:val="Standardnpsmoodstavce"/>
    <w:link w:val="Textkomente"/>
    <w:rsid w:val="00F372B3"/>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F372B3"/>
    <w:rPr>
      <w:b/>
      <w:bCs/>
    </w:rPr>
  </w:style>
  <w:style w:type="character" w:customStyle="1" w:styleId="PedmtkomenteChar">
    <w:name w:val="Předmět komentáře Char"/>
    <w:basedOn w:val="TextkomenteChar"/>
    <w:link w:val="Pedmtkomente"/>
    <w:uiPriority w:val="99"/>
    <w:semiHidden/>
    <w:rsid w:val="00F372B3"/>
    <w:rPr>
      <w:rFonts w:ascii="Calibri" w:hAnsi="Calibri" w:cs="Calibri"/>
      <w:b/>
      <w:bCs/>
      <w:sz w:val="20"/>
      <w:szCs w:val="20"/>
    </w:rPr>
  </w:style>
  <w:style w:type="paragraph" w:styleId="Textbubliny">
    <w:name w:val="Balloon Text"/>
    <w:basedOn w:val="Normln"/>
    <w:link w:val="TextbublinyChar"/>
    <w:uiPriority w:val="99"/>
    <w:semiHidden/>
    <w:unhideWhenUsed/>
    <w:rsid w:val="00F372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72B3"/>
    <w:rPr>
      <w:rFonts w:ascii="Segoe UI" w:hAnsi="Segoe UI" w:cs="Segoe UI"/>
      <w:sz w:val="18"/>
      <w:szCs w:val="18"/>
    </w:rPr>
  </w:style>
  <w:style w:type="character" w:styleId="Hypertextovodkaz">
    <w:name w:val="Hyperlink"/>
    <w:rsid w:val="009F1AA9"/>
    <w:rPr>
      <w:color w:val="0000FF"/>
      <w:u w:val="single"/>
    </w:rPr>
  </w:style>
  <w:style w:type="character" w:customStyle="1" w:styleId="normaltextrun">
    <w:name w:val="normaltextrun"/>
    <w:rsid w:val="009F1AA9"/>
  </w:style>
  <w:style w:type="paragraph" w:customStyle="1" w:styleId="paragraph">
    <w:name w:val="paragraph"/>
    <w:basedOn w:val="Normln"/>
    <w:rsid w:val="009F1AA9"/>
    <w:pPr>
      <w:spacing w:before="100" w:beforeAutospacing="1" w:after="100" w:afterAutospacing="1"/>
    </w:pPr>
    <w:rPr>
      <w:rFonts w:ascii="Times New Roman" w:eastAsia="Times New Roman" w:hAnsi="Times New Roman" w:cs="Times New Roman"/>
      <w:sz w:val="24"/>
      <w:szCs w:val="24"/>
      <w:u w:color="000000"/>
      <w:lang w:eastAsia="cs-CZ"/>
    </w:rPr>
  </w:style>
  <w:style w:type="character" w:customStyle="1" w:styleId="eop">
    <w:name w:val="eop"/>
    <w:rsid w:val="009F1AA9"/>
  </w:style>
  <w:style w:type="character" w:customStyle="1" w:styleId="scxw231575668">
    <w:name w:val="scxw231575668"/>
    <w:rsid w:val="009F1AA9"/>
  </w:style>
  <w:style w:type="paragraph" w:styleId="Zhlav">
    <w:name w:val="header"/>
    <w:basedOn w:val="Normln"/>
    <w:link w:val="ZhlavChar"/>
    <w:uiPriority w:val="99"/>
    <w:unhideWhenUsed/>
    <w:rsid w:val="00B27D82"/>
    <w:pPr>
      <w:tabs>
        <w:tab w:val="center" w:pos="4536"/>
        <w:tab w:val="right" w:pos="9072"/>
      </w:tabs>
    </w:pPr>
  </w:style>
  <w:style w:type="character" w:customStyle="1" w:styleId="ZhlavChar">
    <w:name w:val="Záhlaví Char"/>
    <w:basedOn w:val="Standardnpsmoodstavce"/>
    <w:link w:val="Zhlav"/>
    <w:uiPriority w:val="99"/>
    <w:rsid w:val="00B27D82"/>
    <w:rPr>
      <w:rFonts w:ascii="Calibri" w:hAnsi="Calibri" w:cs="Calibri"/>
    </w:rPr>
  </w:style>
  <w:style w:type="paragraph" w:styleId="Zpat">
    <w:name w:val="footer"/>
    <w:basedOn w:val="Normln"/>
    <w:link w:val="ZpatChar"/>
    <w:uiPriority w:val="99"/>
    <w:unhideWhenUsed/>
    <w:rsid w:val="00B27D82"/>
    <w:pPr>
      <w:tabs>
        <w:tab w:val="center" w:pos="4536"/>
        <w:tab w:val="right" w:pos="9072"/>
      </w:tabs>
    </w:pPr>
  </w:style>
  <w:style w:type="character" w:customStyle="1" w:styleId="ZpatChar">
    <w:name w:val="Zápatí Char"/>
    <w:basedOn w:val="Standardnpsmoodstavce"/>
    <w:link w:val="Zpat"/>
    <w:uiPriority w:val="99"/>
    <w:rsid w:val="00B27D82"/>
    <w:rPr>
      <w:rFonts w:ascii="Calibri" w:hAnsi="Calibri" w:cs="Calibri"/>
    </w:rPr>
  </w:style>
  <w:style w:type="paragraph" w:customStyle="1" w:styleId="AddressArea">
    <w:name w:val="Address Area"/>
    <w:basedOn w:val="Normln"/>
    <w:rsid w:val="00B27D82"/>
    <w:pPr>
      <w:spacing w:line="200" w:lineRule="exact"/>
      <w:ind w:left="612"/>
    </w:pPr>
    <w:rPr>
      <w:rFonts w:ascii="Futura Bk BT" w:eastAsia="Times New Roman" w:hAnsi="Futura Bk BT" w:cs="Times New Roman"/>
      <w:color w:val="000000"/>
      <w:spacing w:val="10"/>
      <w:sz w:val="16"/>
      <w:szCs w:val="20"/>
    </w:rPr>
  </w:style>
  <w:style w:type="character" w:customStyle="1" w:styleId="Nadpis2Char">
    <w:name w:val="Nadpis 2 Char"/>
    <w:basedOn w:val="Standardnpsmoodstavce"/>
    <w:link w:val="Nadpis2"/>
    <w:rsid w:val="00AA72BD"/>
    <w:rPr>
      <w:rFonts w:ascii="Futura Bk BT" w:eastAsia="Times New Roman" w:hAnsi="Futura Bk BT" w:cs="Arial"/>
      <w:b/>
      <w:bCs/>
      <w:color w:val="808080"/>
      <w:sz w:val="20"/>
      <w:szCs w:val="20"/>
      <w:lang w:val="en-GB"/>
    </w:rPr>
  </w:style>
  <w:style w:type="character" w:customStyle="1" w:styleId="spellingerror">
    <w:name w:val="spellingerror"/>
    <w:rsid w:val="008E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60">
      <w:bodyDiv w:val="1"/>
      <w:marLeft w:val="0"/>
      <w:marRight w:val="0"/>
      <w:marTop w:val="0"/>
      <w:marBottom w:val="0"/>
      <w:divBdr>
        <w:top w:val="none" w:sz="0" w:space="0" w:color="auto"/>
        <w:left w:val="none" w:sz="0" w:space="0" w:color="auto"/>
        <w:bottom w:val="none" w:sz="0" w:space="0" w:color="auto"/>
        <w:right w:val="none" w:sz="0" w:space="0" w:color="auto"/>
      </w:divBdr>
    </w:div>
    <w:div w:id="269123310">
      <w:bodyDiv w:val="1"/>
      <w:marLeft w:val="0"/>
      <w:marRight w:val="0"/>
      <w:marTop w:val="0"/>
      <w:marBottom w:val="0"/>
      <w:divBdr>
        <w:top w:val="none" w:sz="0" w:space="0" w:color="auto"/>
        <w:left w:val="none" w:sz="0" w:space="0" w:color="auto"/>
        <w:bottom w:val="none" w:sz="0" w:space="0" w:color="auto"/>
        <w:right w:val="none" w:sz="0" w:space="0" w:color="auto"/>
      </w:divBdr>
    </w:div>
    <w:div w:id="467667436">
      <w:bodyDiv w:val="1"/>
      <w:marLeft w:val="0"/>
      <w:marRight w:val="0"/>
      <w:marTop w:val="0"/>
      <w:marBottom w:val="0"/>
      <w:divBdr>
        <w:top w:val="none" w:sz="0" w:space="0" w:color="auto"/>
        <w:left w:val="none" w:sz="0" w:space="0" w:color="auto"/>
        <w:bottom w:val="none" w:sz="0" w:space="0" w:color="auto"/>
        <w:right w:val="none" w:sz="0" w:space="0" w:color="auto"/>
      </w:divBdr>
    </w:div>
    <w:div w:id="622662672">
      <w:bodyDiv w:val="1"/>
      <w:marLeft w:val="0"/>
      <w:marRight w:val="0"/>
      <w:marTop w:val="0"/>
      <w:marBottom w:val="0"/>
      <w:divBdr>
        <w:top w:val="none" w:sz="0" w:space="0" w:color="auto"/>
        <w:left w:val="none" w:sz="0" w:space="0" w:color="auto"/>
        <w:bottom w:val="none" w:sz="0" w:space="0" w:color="auto"/>
        <w:right w:val="none" w:sz="0" w:space="0" w:color="auto"/>
      </w:divBdr>
    </w:div>
    <w:div w:id="797380590">
      <w:bodyDiv w:val="1"/>
      <w:marLeft w:val="0"/>
      <w:marRight w:val="0"/>
      <w:marTop w:val="0"/>
      <w:marBottom w:val="0"/>
      <w:divBdr>
        <w:top w:val="none" w:sz="0" w:space="0" w:color="auto"/>
        <w:left w:val="none" w:sz="0" w:space="0" w:color="auto"/>
        <w:bottom w:val="none" w:sz="0" w:space="0" w:color="auto"/>
        <w:right w:val="none" w:sz="0" w:space="0" w:color="auto"/>
      </w:divBdr>
      <w:divsChild>
        <w:div w:id="1722943343">
          <w:marLeft w:val="0"/>
          <w:marRight w:val="0"/>
          <w:marTop w:val="0"/>
          <w:marBottom w:val="0"/>
          <w:divBdr>
            <w:top w:val="none" w:sz="0" w:space="0" w:color="auto"/>
            <w:left w:val="none" w:sz="0" w:space="0" w:color="auto"/>
            <w:bottom w:val="none" w:sz="0" w:space="0" w:color="auto"/>
            <w:right w:val="none" w:sz="0" w:space="0" w:color="auto"/>
          </w:divBdr>
        </w:div>
      </w:divsChild>
    </w:div>
    <w:div w:id="803281370">
      <w:bodyDiv w:val="1"/>
      <w:marLeft w:val="0"/>
      <w:marRight w:val="0"/>
      <w:marTop w:val="0"/>
      <w:marBottom w:val="0"/>
      <w:divBdr>
        <w:top w:val="none" w:sz="0" w:space="0" w:color="auto"/>
        <w:left w:val="none" w:sz="0" w:space="0" w:color="auto"/>
        <w:bottom w:val="none" w:sz="0" w:space="0" w:color="auto"/>
        <w:right w:val="none" w:sz="0" w:space="0" w:color="auto"/>
      </w:divBdr>
    </w:div>
    <w:div w:id="1057318180">
      <w:bodyDiv w:val="1"/>
      <w:marLeft w:val="0"/>
      <w:marRight w:val="0"/>
      <w:marTop w:val="0"/>
      <w:marBottom w:val="0"/>
      <w:divBdr>
        <w:top w:val="none" w:sz="0" w:space="0" w:color="auto"/>
        <w:left w:val="none" w:sz="0" w:space="0" w:color="auto"/>
        <w:bottom w:val="none" w:sz="0" w:space="0" w:color="auto"/>
        <w:right w:val="none" w:sz="0" w:space="0" w:color="auto"/>
      </w:divBdr>
    </w:div>
    <w:div w:id="1125738938">
      <w:bodyDiv w:val="1"/>
      <w:marLeft w:val="0"/>
      <w:marRight w:val="0"/>
      <w:marTop w:val="0"/>
      <w:marBottom w:val="0"/>
      <w:divBdr>
        <w:top w:val="none" w:sz="0" w:space="0" w:color="auto"/>
        <w:left w:val="none" w:sz="0" w:space="0" w:color="auto"/>
        <w:bottom w:val="none" w:sz="0" w:space="0" w:color="auto"/>
        <w:right w:val="none" w:sz="0" w:space="0" w:color="auto"/>
      </w:divBdr>
    </w:div>
    <w:div w:id="1274049617">
      <w:bodyDiv w:val="1"/>
      <w:marLeft w:val="0"/>
      <w:marRight w:val="0"/>
      <w:marTop w:val="0"/>
      <w:marBottom w:val="0"/>
      <w:divBdr>
        <w:top w:val="none" w:sz="0" w:space="0" w:color="auto"/>
        <w:left w:val="none" w:sz="0" w:space="0" w:color="auto"/>
        <w:bottom w:val="none" w:sz="0" w:space="0" w:color="auto"/>
        <w:right w:val="none" w:sz="0" w:space="0" w:color="auto"/>
      </w:divBdr>
    </w:div>
    <w:div w:id="1663702412">
      <w:bodyDiv w:val="1"/>
      <w:marLeft w:val="0"/>
      <w:marRight w:val="0"/>
      <w:marTop w:val="0"/>
      <w:marBottom w:val="0"/>
      <w:divBdr>
        <w:top w:val="none" w:sz="0" w:space="0" w:color="auto"/>
        <w:left w:val="none" w:sz="0" w:space="0" w:color="auto"/>
        <w:bottom w:val="none" w:sz="0" w:space="0" w:color="auto"/>
        <w:right w:val="none" w:sz="0" w:space="0" w:color="auto"/>
      </w:divBdr>
    </w:div>
    <w:div w:id="2127699189">
      <w:bodyDiv w:val="1"/>
      <w:marLeft w:val="0"/>
      <w:marRight w:val="0"/>
      <w:marTop w:val="0"/>
      <w:marBottom w:val="0"/>
      <w:divBdr>
        <w:top w:val="none" w:sz="0" w:space="0" w:color="auto"/>
        <w:left w:val="none" w:sz="0" w:space="0" w:color="auto"/>
        <w:bottom w:val="none" w:sz="0" w:space="0" w:color="auto"/>
        <w:right w:val="none" w:sz="0" w:space="0" w:color="auto"/>
      </w:divBdr>
    </w:div>
    <w:div w:id="21434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stcom.cz/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mila.cadkova@crestcom.cz" TargetMode="External"/><Relationship Id="rId12" Type="http://schemas.openxmlformats.org/officeDocument/2006/relationships/hyperlink" Target="http://www.cbre.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cbre_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pages/CBRE-News/626929170775263?ref=ts&amp;fref=ts" TargetMode="External"/><Relationship Id="rId4" Type="http://schemas.openxmlformats.org/officeDocument/2006/relationships/webSettings" Target="webSettings.xml"/><Relationship Id="rId9" Type="http://schemas.openxmlformats.org/officeDocument/2006/relationships/hyperlink" Target="mailto:renata.mrazova@cbr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D9AE-424D-486C-9DBD-593EFABF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682</Words>
  <Characters>4030</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Christopher Kasha</dc:creator>
  <cp:keywords/>
  <dc:description/>
  <cp:lastModifiedBy>Tereza Štosová</cp:lastModifiedBy>
  <cp:revision>7</cp:revision>
  <cp:lastPrinted>2021-07-20T06:36:00Z</cp:lastPrinted>
  <dcterms:created xsi:type="dcterms:W3CDTF">2021-09-02T11:25:00Z</dcterms:created>
  <dcterms:modified xsi:type="dcterms:W3CDTF">2021-09-02T11:45:00Z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ria-DocumentTagging.ClassificationMark.P00">
    <vt:lpwstr>&lt;ClassificationMark xmlns:xsi="http://www.w3.org/2001/XMLSchema-instance" xmlns:xsd="http://www.w3.org/2001/XMLSchema" margin="NaN" class="01V" owner="Kent Christopher Kasha" position="TopRight" marginX="2" marginY="0.3" classifiedOn="2021-07-16T09:3</vt:lpwstr>
  </property>
  <property fmtid="{D5CDD505-2E9C-101B-9397-08002B2CF9AE}" pid="3" name="Patria-DocumentTagging.ClassificationMark.P01">
    <vt:lpwstr>7:59.9464849+02:00" showPrintedBy="false" showPrintDate="false" language="en" ApplicationVersion="Microsoft Word, 16.0" addinVersion="5.10.4.23" template="Patria"&gt;&lt;history bulk="false" class="Public" code="01V" user="KOZÁKOVÁ Nina" date="2021-07-16T0</vt:lpwstr>
  </property>
  <property fmtid="{D5CDD505-2E9C-101B-9397-08002B2CF9AE}" pid="4" name="Patria-DocumentTagging.ClassificationMark.P02">
    <vt:lpwstr>9:38:00.077728+02:00" /&gt;&lt;recipients /&gt;&lt;documentOwners /&gt;&lt;/ClassificationMark&gt;</vt:lpwstr>
  </property>
  <property fmtid="{D5CDD505-2E9C-101B-9397-08002B2CF9AE}" pid="5" name="Patria-DocumentTagging.ClassificationMark">
    <vt:lpwstr>￼PARTS:3</vt:lpwstr>
  </property>
  <property fmtid="{D5CDD505-2E9C-101B-9397-08002B2CF9AE}" pid="6" name="Patria-DocumentClasification">
    <vt:lpwstr>Public</vt:lpwstr>
  </property>
  <property fmtid="{D5CDD505-2E9C-101B-9397-08002B2CF9AE}" pid="7" name="Patria-DLP">
    <vt:lpwstr>Patria-DLP:Patria_Verejne</vt:lpwstr>
  </property>
</Properties>
</file>